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AA" w:rsidRPr="00D93416" w:rsidRDefault="00FB7FE3" w:rsidP="00550DAA">
      <w:pPr>
        <w:pStyle w:val="En-tte"/>
        <w:rPr>
          <w:noProof/>
          <w:lang w:val="en-US" w:eastAsia="fr-FR"/>
        </w:rPr>
      </w:pPr>
      <w:r>
        <w:rPr>
          <w:noProof/>
          <w:lang w:eastAsia="fr-FR"/>
        </w:rPr>
        <w:drawing>
          <wp:inline distT="0" distB="0" distL="0" distR="0">
            <wp:extent cx="761365" cy="512445"/>
            <wp:effectExtent l="19050" t="0" r="635" b="0"/>
            <wp:docPr id="1" name="Image 1"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ogo"/>
                    <pic:cNvPicPr>
                      <a:picLocks noChangeAspect="1" noChangeArrowheads="1"/>
                    </pic:cNvPicPr>
                  </pic:nvPicPr>
                  <pic:blipFill>
                    <a:blip r:embed="rId7" cstate="print"/>
                    <a:srcRect/>
                    <a:stretch>
                      <a:fillRect/>
                    </a:stretch>
                  </pic:blipFill>
                  <pic:spPr bwMode="auto">
                    <a:xfrm>
                      <a:off x="0" y="0"/>
                      <a:ext cx="761365" cy="512445"/>
                    </a:xfrm>
                    <a:prstGeom prst="rect">
                      <a:avLst/>
                    </a:prstGeom>
                    <a:noFill/>
                    <a:ln w="9525">
                      <a:noFill/>
                      <a:miter lim="800000"/>
                      <a:headEnd/>
                      <a:tailEnd/>
                    </a:ln>
                  </pic:spPr>
                </pic:pic>
              </a:graphicData>
            </a:graphic>
          </wp:inline>
        </w:drawing>
      </w:r>
      <w:r w:rsidR="00550DAA" w:rsidRPr="00D93416">
        <w:rPr>
          <w:noProof/>
          <w:lang w:val="en-US" w:eastAsia="fr-FR"/>
        </w:rPr>
        <w:tab/>
      </w:r>
      <w:r>
        <w:rPr>
          <w:noProof/>
          <w:sz w:val="20"/>
          <w:szCs w:val="20"/>
          <w:lang w:eastAsia="fr-FR"/>
        </w:rPr>
        <w:drawing>
          <wp:inline distT="0" distB="0" distL="0" distR="0">
            <wp:extent cx="1431290" cy="9144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431290" cy="914400"/>
                    </a:xfrm>
                    <a:prstGeom prst="rect">
                      <a:avLst/>
                    </a:prstGeom>
                    <a:noFill/>
                    <a:ln w="9525">
                      <a:noFill/>
                      <a:miter lim="800000"/>
                      <a:headEnd/>
                      <a:tailEnd/>
                    </a:ln>
                  </pic:spPr>
                </pic:pic>
              </a:graphicData>
            </a:graphic>
          </wp:inline>
        </w:drawing>
      </w:r>
      <w:r w:rsidR="00550DAA" w:rsidRPr="00D93416">
        <w:rPr>
          <w:noProof/>
          <w:lang w:val="en-US" w:eastAsia="fr-FR"/>
        </w:rPr>
        <w:tab/>
      </w:r>
      <w:r>
        <w:rPr>
          <w:noProof/>
          <w:lang w:eastAsia="fr-FR"/>
        </w:rPr>
        <w:drawing>
          <wp:inline distT="0" distB="0" distL="0" distR="0">
            <wp:extent cx="574675" cy="584200"/>
            <wp:effectExtent l="19050" t="0" r="0" b="0"/>
            <wp:docPr id="3" name="Image 2" descr="Data:mk:Desktop:e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ata:mk:Desktop:erc-logo.gif"/>
                    <pic:cNvPicPr>
                      <a:picLocks noChangeAspect="1" noChangeArrowheads="1"/>
                    </pic:cNvPicPr>
                  </pic:nvPicPr>
                  <pic:blipFill>
                    <a:blip r:embed="rId9" cstate="print"/>
                    <a:srcRect/>
                    <a:stretch>
                      <a:fillRect/>
                    </a:stretch>
                  </pic:blipFill>
                  <pic:spPr bwMode="auto">
                    <a:xfrm>
                      <a:off x="0" y="0"/>
                      <a:ext cx="574675" cy="584200"/>
                    </a:xfrm>
                    <a:prstGeom prst="rect">
                      <a:avLst/>
                    </a:prstGeom>
                    <a:noFill/>
                    <a:ln w="9525">
                      <a:noFill/>
                      <a:miter lim="800000"/>
                      <a:headEnd/>
                      <a:tailEnd/>
                    </a:ln>
                  </pic:spPr>
                </pic:pic>
              </a:graphicData>
            </a:graphic>
          </wp:inline>
        </w:drawing>
      </w:r>
    </w:p>
    <w:p w:rsidR="00550DAA" w:rsidRPr="00D93416" w:rsidRDefault="00396282" w:rsidP="00550DAA">
      <w:pPr>
        <w:pStyle w:val="En-tte"/>
        <w:rPr>
          <w:lang w:val="en-US"/>
        </w:rPr>
      </w:pPr>
      <w:r>
        <w:rPr>
          <w:noProof/>
          <w:lang w:eastAsia="fr-FR"/>
        </w:rPr>
        <w:pict>
          <v:line id="_x0000_s1026" style="position:absolute;z-index:251657728;mso-wrap-edited:f" from="90pt,13.3pt" to="378pt,13.3pt" wrapcoords="-112 -2147483648 -112 -2147483648 21656 -2147483648 21656 -2147483648 -112 -2147483648" strokecolor="#bfbfbf" strokeweight="1.5pt">
            <v:shadow opacity="22938f" offset="0"/>
            <w10:wrap type="tight"/>
          </v:line>
        </w:pict>
      </w:r>
    </w:p>
    <w:p w:rsidR="00FC766F" w:rsidRPr="00D93416" w:rsidRDefault="00FC766F">
      <w:pPr>
        <w:rPr>
          <w:sz w:val="22"/>
          <w:lang w:val="en-US"/>
        </w:rPr>
      </w:pPr>
    </w:p>
    <w:p w:rsidR="00FC766F" w:rsidRPr="00D93416" w:rsidRDefault="00FC766F">
      <w:pPr>
        <w:rPr>
          <w:sz w:val="22"/>
          <w:lang w:val="en-US"/>
        </w:rPr>
      </w:pPr>
    </w:p>
    <w:p w:rsidR="00FC766F" w:rsidRPr="00D93416" w:rsidRDefault="00FC766F">
      <w:pPr>
        <w:rPr>
          <w:sz w:val="22"/>
          <w:lang w:val="en-US"/>
        </w:rPr>
      </w:pPr>
    </w:p>
    <w:p w:rsidR="00FC766F" w:rsidRPr="0006658A" w:rsidRDefault="00905318" w:rsidP="001154D1">
      <w:pPr>
        <w:jc w:val="center"/>
        <w:rPr>
          <w:b/>
          <w:sz w:val="28"/>
          <w:szCs w:val="28"/>
          <w:lang w:val="en-US"/>
        </w:rPr>
      </w:pPr>
      <w:r>
        <w:rPr>
          <w:b/>
          <w:sz w:val="28"/>
          <w:szCs w:val="28"/>
          <w:lang w:val="en-US"/>
        </w:rPr>
        <w:t>Doctoral Scholarships on the</w:t>
      </w:r>
      <w:r w:rsidR="00D93416">
        <w:rPr>
          <w:b/>
          <w:sz w:val="28"/>
          <w:szCs w:val="28"/>
          <w:lang w:val="en-US"/>
        </w:rPr>
        <w:t xml:space="preserve"> Qur’an</w:t>
      </w:r>
      <w:r w:rsidR="00A7487D">
        <w:rPr>
          <w:b/>
          <w:sz w:val="28"/>
          <w:szCs w:val="28"/>
          <w:lang w:val="en-US"/>
        </w:rPr>
        <w:t xml:space="preserve"> in European Culture</w:t>
      </w:r>
    </w:p>
    <w:p w:rsidR="001154D1" w:rsidRPr="0006658A" w:rsidRDefault="001154D1" w:rsidP="001154D1">
      <w:pPr>
        <w:rPr>
          <w:sz w:val="22"/>
          <w:lang w:val="en-US"/>
        </w:rPr>
      </w:pPr>
    </w:p>
    <w:p w:rsidR="001154D1" w:rsidRPr="0006658A" w:rsidRDefault="00260CE3" w:rsidP="007E037C">
      <w:pPr>
        <w:ind w:firstLine="708"/>
        <w:rPr>
          <w:sz w:val="22"/>
          <w:lang w:val="en-US"/>
        </w:rPr>
      </w:pPr>
      <w:r w:rsidRPr="00260CE3">
        <w:rPr>
          <w:sz w:val="22"/>
        </w:rPr>
        <w:t>L’</w:t>
      </w:r>
      <w:r w:rsidR="00D93416" w:rsidRPr="00260CE3">
        <w:rPr>
          <w:sz w:val="22"/>
        </w:rPr>
        <w:t>Université de Nantes</w:t>
      </w:r>
      <w:r w:rsidR="001154D1" w:rsidRPr="00260CE3">
        <w:rPr>
          <w:sz w:val="22"/>
        </w:rPr>
        <w:t xml:space="preserve"> </w:t>
      </w:r>
      <w:r w:rsidRPr="00260CE3">
        <w:rPr>
          <w:sz w:val="22"/>
        </w:rPr>
        <w:t xml:space="preserve">recrute des doctorants dans le cadre du projet </w:t>
      </w:r>
      <w:r w:rsidR="00D93416" w:rsidRPr="00260CE3">
        <w:rPr>
          <w:sz w:val="22"/>
        </w:rPr>
        <w:t>“</w:t>
      </w:r>
      <w:r w:rsidR="00905318" w:rsidRPr="00260CE3">
        <w:rPr>
          <w:sz w:val="22"/>
        </w:rPr>
        <w:t>The European Qur’an: Islamic Scripture in European Culture and Religion (1150-1850)</w:t>
      </w:r>
      <w:r w:rsidR="00D93416" w:rsidRPr="00260CE3">
        <w:rPr>
          <w:sz w:val="22"/>
        </w:rPr>
        <w:t xml:space="preserve">” (EuQu).  </w:t>
      </w:r>
      <w:r>
        <w:rPr>
          <w:sz w:val="22"/>
          <w:lang w:val="en-GB"/>
        </w:rPr>
        <w:t>Il y aura jusuq’à quatre bourses doctorales.</w:t>
      </w:r>
    </w:p>
    <w:p w:rsidR="001154D1" w:rsidRPr="0006658A" w:rsidRDefault="001154D1" w:rsidP="001154D1">
      <w:pPr>
        <w:ind w:firstLine="708"/>
        <w:rPr>
          <w:sz w:val="22"/>
          <w:lang w:val="en-US"/>
        </w:rPr>
      </w:pPr>
    </w:p>
    <w:p w:rsidR="001154D1" w:rsidRPr="00973FB2" w:rsidRDefault="00973FB2" w:rsidP="001154D1">
      <w:pPr>
        <w:rPr>
          <w:b/>
          <w:sz w:val="22"/>
        </w:rPr>
      </w:pPr>
      <w:r>
        <w:rPr>
          <w:b/>
          <w:sz w:val="22"/>
        </w:rPr>
        <w:t xml:space="preserve">Résumé du projet </w:t>
      </w:r>
    </w:p>
    <w:p w:rsidR="00973FB2" w:rsidRPr="00973FB2" w:rsidRDefault="001154D1" w:rsidP="00973FB2">
      <w:pPr>
        <w:rPr>
          <w:sz w:val="22"/>
        </w:rPr>
      </w:pPr>
      <w:r w:rsidRPr="0006658A">
        <w:rPr>
          <w:sz w:val="22"/>
          <w:lang w:val="en-GB"/>
        </w:rPr>
        <w:tab/>
      </w:r>
      <w:r w:rsidR="001035EB" w:rsidRPr="00973FB2">
        <w:rPr>
          <w:sz w:val="22"/>
        </w:rPr>
        <w:t xml:space="preserve">“The </w:t>
      </w:r>
      <w:r w:rsidR="00F60A5D" w:rsidRPr="00973FB2">
        <w:rPr>
          <w:sz w:val="22"/>
        </w:rPr>
        <w:t>European Qur’an: Islamic Scripture in European Culture and Religion</w:t>
      </w:r>
      <w:r w:rsidR="001035EB" w:rsidRPr="00973FB2">
        <w:rPr>
          <w:sz w:val="22"/>
        </w:rPr>
        <w:t xml:space="preserve">” (EuQu) </w:t>
      </w:r>
      <w:r w:rsidR="00973FB2" w:rsidRPr="00973FB2">
        <w:rPr>
          <w:sz w:val="22"/>
        </w:rPr>
        <w:t>est un projet de recherche financé sur six ans par une Synergy Grant, du Conseil européen de la recherche. Ses quatre principaux chercheurs (et leurs institutions affiliées) sont Mercedes García-Arenal (Centre de Sciences Humaines et Sociales, CSIC, Madrid, Espagne), John Tolan (Université de Nantes, France), Jan Loop (Université du Kent, Canterbury, Grande-Bretagne) et Roberto Tottoli (Université de Naples – L’Orientale, Italie).</w:t>
      </w:r>
    </w:p>
    <w:p w:rsidR="00973FB2" w:rsidRPr="00973FB2" w:rsidRDefault="00973FB2" w:rsidP="00973FB2">
      <w:pPr>
        <w:ind w:firstLine="708"/>
        <w:rPr>
          <w:sz w:val="22"/>
        </w:rPr>
      </w:pPr>
      <w:r w:rsidRPr="00973FB2">
        <w:rPr>
          <w:sz w:val="22"/>
        </w:rPr>
        <w:t>Ce projet va permettre l’étude du Coran et de son ancrage dans l’histoire intellectuelle, religieuse et culturelle des Européens des époques médiévale et moderne, qu’ils soient chrétiens, juifs, libre-penseurs, athées ou musulmans. Plus précisément, le projet étudiera comment le Coran a été traduit, interprété, adapté et utilisé dans l’Europe du Moyen-Age jusqu’au début de l’époque moderne, afin de comprendre comment le Coran a influencé la culture et religion en Europe. EuQu se penchera sur l’utilisation du Coran dans des écrits des érudits européens sur l’islam, dans les débats des différents courants du christianisme et dans la critique même de cette religion pendant la période des lumières.</w:t>
      </w:r>
    </w:p>
    <w:p w:rsidR="00973FB2" w:rsidRPr="00973FB2" w:rsidRDefault="00973FB2" w:rsidP="00973FB2">
      <w:pPr>
        <w:ind w:firstLine="708"/>
        <w:rPr>
          <w:sz w:val="22"/>
        </w:rPr>
      </w:pPr>
      <w:r w:rsidRPr="00973FB2">
        <w:rPr>
          <w:sz w:val="22"/>
        </w:rPr>
        <w:t>Ce projet de six ans permettra une recherche interdisciplinaire par le biais de rencontres scientifiques dans l’espace européen, de la création d’une base de données SIG (système d’information géographique) regroupant des manuscrits, traductions et divers autres travaux. De plus, des thèses et monographies permettront une plus ample connaissance du Coran afin d’alimenter les débats et élargir sa connaissance. Pour finir, les fruits de cette recherche seront accessibles au grand public au travers d’une exposition innovante en ligne sur la place du livre saint de l’islam dans le patrimoine culturel européen.</w:t>
      </w:r>
    </w:p>
    <w:p w:rsidR="00D93416" w:rsidRPr="00973FB2" w:rsidRDefault="00D93416" w:rsidP="00D93416">
      <w:pPr>
        <w:ind w:firstLine="708"/>
        <w:rPr>
          <w:sz w:val="22"/>
        </w:rPr>
      </w:pPr>
    </w:p>
    <w:p w:rsidR="001154D1" w:rsidRPr="00973FB2" w:rsidRDefault="001154D1" w:rsidP="00D93416">
      <w:pPr>
        <w:rPr>
          <w:sz w:val="22"/>
        </w:rPr>
      </w:pPr>
      <w:r w:rsidRPr="00973FB2">
        <w:rPr>
          <w:b/>
          <w:sz w:val="22"/>
        </w:rPr>
        <w:t>Qualifications</w:t>
      </w:r>
    </w:p>
    <w:p w:rsidR="00E900BF" w:rsidRPr="00973FB2" w:rsidRDefault="00973FB2" w:rsidP="00973FB2">
      <w:pPr>
        <w:jc w:val="both"/>
        <w:rPr>
          <w:sz w:val="22"/>
        </w:rPr>
      </w:pPr>
      <w:r w:rsidRPr="00980E81">
        <w:rPr>
          <w:sz w:val="22"/>
        </w:rPr>
        <w:t xml:space="preserve">Les candidats doivent être titulaires d’un master 2 (ou équivalent) récent en histoire, droit, religion ou littérature, avec une spécialisation en rapport avec les thèmes de </w:t>
      </w:r>
      <w:r w:rsidRPr="00973FB2">
        <w:rPr>
          <w:sz w:val="22"/>
        </w:rPr>
        <w:t>EuQu</w:t>
      </w:r>
      <w:r w:rsidRPr="00980E81">
        <w:rPr>
          <w:sz w:val="22"/>
        </w:rPr>
        <w:t>.  Chaque candidat doit avoir de bonnes compétences en langu</w:t>
      </w:r>
      <w:r>
        <w:rPr>
          <w:sz w:val="22"/>
        </w:rPr>
        <w:t xml:space="preserve">es nécessaire (notamment arabe ou </w:t>
      </w:r>
      <w:r w:rsidRPr="00980E81">
        <w:rPr>
          <w:sz w:val="22"/>
        </w:rPr>
        <w:t xml:space="preserve">latin, selon le sujet de thèse).  </w:t>
      </w:r>
      <w:r w:rsidRPr="00980E81">
        <w:rPr>
          <w:iCs/>
          <w:sz w:val="22"/>
        </w:rPr>
        <w:t>Les candidats s’inscriront en thèse à l’Université de Nantes et pourrons être inscrits en cotutelle ou codirection dans une autre université.</w:t>
      </w:r>
      <w:r>
        <w:rPr>
          <w:iCs/>
          <w:sz w:val="22"/>
        </w:rPr>
        <w:t xml:space="preserve">  En particulier, il est prévu qu’un ou plusieurs étudiants puissent être en co-supervision avec des professeurs de l’</w:t>
      </w:r>
      <w:r w:rsidR="00E900BF" w:rsidRPr="00973FB2">
        <w:rPr>
          <w:iCs/>
          <w:sz w:val="22"/>
        </w:rPr>
        <w:t xml:space="preserve">Universidad Autónoma de Barcelona </w:t>
      </w:r>
      <w:r>
        <w:rPr>
          <w:iCs/>
          <w:sz w:val="22"/>
        </w:rPr>
        <w:t>et de l’</w:t>
      </w:r>
      <w:r w:rsidR="00E900BF" w:rsidRPr="00973FB2">
        <w:rPr>
          <w:iCs/>
          <w:sz w:val="22"/>
        </w:rPr>
        <w:t>University of Notre Dame (South Bend, Indiana, USA).</w:t>
      </w:r>
    </w:p>
    <w:p w:rsidR="00046E00" w:rsidRPr="00973FB2" w:rsidRDefault="00046E00" w:rsidP="00046E00">
      <w:pPr>
        <w:rPr>
          <w:sz w:val="22"/>
        </w:rPr>
      </w:pPr>
    </w:p>
    <w:p w:rsidR="00973FB2" w:rsidRDefault="00973FB2" w:rsidP="00973FB2">
      <w:pPr>
        <w:rPr>
          <w:sz w:val="22"/>
        </w:rPr>
      </w:pPr>
      <w:r>
        <w:rPr>
          <w:b/>
          <w:sz w:val="22"/>
        </w:rPr>
        <w:t>Sujet</w:t>
      </w:r>
      <w:r w:rsidRPr="00980E81">
        <w:rPr>
          <w:b/>
          <w:sz w:val="22"/>
        </w:rPr>
        <w:t xml:space="preserve"> de thèse</w:t>
      </w:r>
    </w:p>
    <w:p w:rsidR="00973FB2" w:rsidRDefault="00973FB2" w:rsidP="00046E00">
      <w:pPr>
        <w:rPr>
          <w:iCs/>
          <w:sz w:val="22"/>
        </w:rPr>
      </w:pPr>
      <w:r w:rsidRPr="00980E81">
        <w:rPr>
          <w:sz w:val="22"/>
        </w:rPr>
        <w:t>Chaque candidat pro</w:t>
      </w:r>
      <w:r>
        <w:rPr>
          <w:sz w:val="22"/>
        </w:rPr>
        <w:t>posera un sujet de thèse origina</w:t>
      </w:r>
      <w:r w:rsidRPr="00980E81">
        <w:rPr>
          <w:sz w:val="22"/>
        </w:rPr>
        <w:t>l en lien étroit avec les thèmes du projet</w:t>
      </w:r>
      <w:r>
        <w:rPr>
          <w:sz w:val="22"/>
        </w:rPr>
        <w:t xml:space="preserve">. </w:t>
      </w:r>
      <w:r>
        <w:rPr>
          <w:iCs/>
          <w:sz w:val="22"/>
        </w:rPr>
        <w:t>Les thèses peuvent être rédigées en français, anglais, espagnol ou italien.</w:t>
      </w:r>
      <w:r w:rsidRPr="00980E81">
        <w:rPr>
          <w:iCs/>
          <w:sz w:val="22"/>
        </w:rPr>
        <w:t xml:space="preserve"> </w:t>
      </w:r>
      <w:r>
        <w:rPr>
          <w:iCs/>
          <w:sz w:val="22"/>
        </w:rPr>
        <w:t>Parmi les sujets possibles sont des aspects de l’histoire de la polémique anti-coranique en Europe médiévale et moderne, de l’histoire de la traduction et de la transmission du texte coranique, ou de l’utilisation du coran dans le contexte des études bibliques.</w:t>
      </w:r>
    </w:p>
    <w:p w:rsidR="00046E00" w:rsidRPr="00E900BF" w:rsidRDefault="00046E00" w:rsidP="001154D1">
      <w:pPr>
        <w:rPr>
          <w:sz w:val="22"/>
          <w:lang w:val="en-GB"/>
        </w:rPr>
      </w:pPr>
    </w:p>
    <w:p w:rsidR="001154D1" w:rsidRPr="0006658A" w:rsidRDefault="001154D1" w:rsidP="001154D1">
      <w:pPr>
        <w:rPr>
          <w:sz w:val="22"/>
          <w:lang w:val="en-GB"/>
        </w:rPr>
      </w:pPr>
      <w:r w:rsidRPr="0006658A">
        <w:rPr>
          <w:b/>
          <w:sz w:val="22"/>
          <w:lang w:val="en-GB"/>
        </w:rPr>
        <w:t>Responsibilit</w:t>
      </w:r>
      <w:r w:rsidR="00973FB2">
        <w:rPr>
          <w:b/>
          <w:sz w:val="22"/>
          <w:lang w:val="en-GB"/>
        </w:rPr>
        <w:t>és des chercheurs</w:t>
      </w:r>
    </w:p>
    <w:p w:rsidR="00F60A5D" w:rsidRPr="00973FB2" w:rsidRDefault="00973FB2" w:rsidP="00515EF9">
      <w:pPr>
        <w:rPr>
          <w:rFonts w:ascii="Times New Roman" w:hAnsi="Times New Roman"/>
        </w:rPr>
      </w:pPr>
      <w:r w:rsidRPr="00973FB2">
        <w:rPr>
          <w:rFonts w:ascii="Times New Roman" w:hAnsi="Times New Roman"/>
        </w:rPr>
        <w:t xml:space="preserve">Chaque étudiant fera partie de l’équipe international des chercheurs </w:t>
      </w:r>
      <w:r w:rsidR="00F60A5D" w:rsidRPr="00973FB2">
        <w:rPr>
          <w:rFonts w:ascii="Times New Roman" w:hAnsi="Times New Roman"/>
        </w:rPr>
        <w:t xml:space="preserve">EuQu </w:t>
      </w:r>
    </w:p>
    <w:p w:rsidR="00F60A5D" w:rsidRPr="00F60A5D" w:rsidRDefault="00973FB2" w:rsidP="00F60A5D">
      <w:pPr>
        <w:rPr>
          <w:sz w:val="22"/>
          <w:lang w:val="en-GB"/>
        </w:rPr>
      </w:pPr>
      <w:r w:rsidRPr="00BD7F33">
        <w:rPr>
          <w:rFonts w:ascii="Times New Roman" w:hAnsi="Times New Roman"/>
        </w:rPr>
        <w:t xml:space="preserve">A part la recherche et </w:t>
      </w:r>
      <w:r w:rsidR="00BD7F33" w:rsidRPr="00BD7F33">
        <w:rPr>
          <w:rFonts w:ascii="Times New Roman" w:hAnsi="Times New Roman"/>
        </w:rPr>
        <w:t>rédaction</w:t>
      </w:r>
      <w:r w:rsidRPr="00BD7F33">
        <w:rPr>
          <w:rFonts w:ascii="Times New Roman" w:hAnsi="Times New Roman"/>
        </w:rPr>
        <w:t xml:space="preserve"> de leurs </w:t>
      </w:r>
      <w:r w:rsidR="00BD7F33" w:rsidRPr="00BD7F33">
        <w:rPr>
          <w:rFonts w:ascii="Times New Roman" w:hAnsi="Times New Roman"/>
        </w:rPr>
        <w:t>thèses</w:t>
      </w:r>
      <w:r w:rsidRPr="00BD7F33">
        <w:rPr>
          <w:rFonts w:ascii="Times New Roman" w:hAnsi="Times New Roman"/>
        </w:rPr>
        <w:t xml:space="preserve">, les étudiants seront chargés </w:t>
      </w:r>
      <w:r w:rsidR="00BD7F33" w:rsidRPr="00BD7F33">
        <w:rPr>
          <w:rFonts w:ascii="Times New Roman" w:hAnsi="Times New Roman"/>
        </w:rPr>
        <w:t>de travaux de recherches en rapport avec leurs sujets de th</w:t>
      </w:r>
      <w:r w:rsidR="00BD7F33">
        <w:rPr>
          <w:rFonts w:ascii="Times New Roman" w:hAnsi="Times New Roman"/>
        </w:rPr>
        <w:t xml:space="preserve">èse.  </w:t>
      </w:r>
      <w:r w:rsidR="00BD7F33" w:rsidRPr="00BD7F33">
        <w:rPr>
          <w:rFonts w:ascii="Times New Roman" w:hAnsi="Times New Roman"/>
          <w:lang w:val="en-US"/>
        </w:rPr>
        <w:t>A titre d’exemple, ces t</w:t>
      </w:r>
      <w:r w:rsidR="00BD7F33">
        <w:rPr>
          <w:rFonts w:ascii="Times New Roman" w:hAnsi="Times New Roman"/>
          <w:lang w:val="en-US"/>
        </w:rPr>
        <w:t>âches peuvent comprendre:</w:t>
      </w:r>
    </w:p>
    <w:p w:rsidR="001154D1" w:rsidRPr="0006658A" w:rsidRDefault="00BD7F33" w:rsidP="001154D1">
      <w:pPr>
        <w:numPr>
          <w:ilvl w:val="0"/>
          <w:numId w:val="1"/>
        </w:numPr>
        <w:rPr>
          <w:sz w:val="22"/>
          <w:lang w:val="en-GB"/>
        </w:rPr>
      </w:pPr>
      <w:r>
        <w:rPr>
          <w:sz w:val="22"/>
          <w:lang w:val="en-GB"/>
        </w:rPr>
        <w:t>Recherche bibliographique:</w:t>
      </w:r>
      <w:r w:rsidR="001154D1" w:rsidRPr="0006658A">
        <w:rPr>
          <w:sz w:val="22"/>
          <w:lang w:val="en-GB"/>
        </w:rPr>
        <w:t xml:space="preserve">  </w:t>
      </w:r>
    </w:p>
    <w:p w:rsidR="00BD7F33" w:rsidRPr="00BD7F33" w:rsidRDefault="001154D1" w:rsidP="00A03D90">
      <w:pPr>
        <w:numPr>
          <w:ilvl w:val="1"/>
          <w:numId w:val="1"/>
        </w:numPr>
        <w:rPr>
          <w:sz w:val="22"/>
        </w:rPr>
      </w:pPr>
      <w:r w:rsidRPr="00BD7F33">
        <w:rPr>
          <w:sz w:val="22"/>
        </w:rPr>
        <w:t>Identif</w:t>
      </w:r>
      <w:r w:rsidR="00BD7F33" w:rsidRPr="00BD7F33">
        <w:rPr>
          <w:sz w:val="22"/>
        </w:rPr>
        <w:t xml:space="preserve">ication de </w:t>
      </w:r>
      <w:r w:rsidR="00A03D90" w:rsidRPr="00BD7F33">
        <w:rPr>
          <w:sz w:val="22"/>
        </w:rPr>
        <w:t xml:space="preserve">manuscrits </w:t>
      </w:r>
      <w:r w:rsidR="00BD7F33" w:rsidRPr="00BD7F33">
        <w:rPr>
          <w:sz w:val="22"/>
        </w:rPr>
        <w:t>et livres imprimés dans les thèmes du projet</w:t>
      </w:r>
    </w:p>
    <w:p w:rsidR="00BD7F33" w:rsidRPr="00BD7F33" w:rsidRDefault="00BD7F33" w:rsidP="00A03D90">
      <w:pPr>
        <w:numPr>
          <w:ilvl w:val="1"/>
          <w:numId w:val="1"/>
        </w:numPr>
        <w:rPr>
          <w:sz w:val="22"/>
        </w:rPr>
      </w:pPr>
      <w:r w:rsidRPr="00BD7F33">
        <w:rPr>
          <w:sz w:val="22"/>
        </w:rPr>
        <w:t>Identification de recherches récentes et communication avec des sp</w:t>
      </w:r>
      <w:r>
        <w:rPr>
          <w:sz w:val="22"/>
        </w:rPr>
        <w:t>écialistes</w:t>
      </w:r>
    </w:p>
    <w:p w:rsidR="001154D1" w:rsidRPr="00BD7F33" w:rsidRDefault="00BD7F33" w:rsidP="001154D1">
      <w:pPr>
        <w:numPr>
          <w:ilvl w:val="0"/>
          <w:numId w:val="1"/>
        </w:numPr>
        <w:rPr>
          <w:sz w:val="22"/>
        </w:rPr>
      </w:pPr>
      <w:r w:rsidRPr="00BD7F33">
        <w:rPr>
          <w:sz w:val="22"/>
        </w:rPr>
        <w:t>Alimentation de la base de données</w:t>
      </w:r>
      <w:r w:rsidR="001154D1" w:rsidRPr="00BD7F33">
        <w:rPr>
          <w:sz w:val="22"/>
        </w:rPr>
        <w:t>:</w:t>
      </w:r>
    </w:p>
    <w:p w:rsidR="00BD7F33" w:rsidRDefault="00BD7F33" w:rsidP="001154D1">
      <w:pPr>
        <w:numPr>
          <w:ilvl w:val="1"/>
          <w:numId w:val="1"/>
        </w:numPr>
        <w:rPr>
          <w:sz w:val="22"/>
        </w:rPr>
      </w:pPr>
      <w:r w:rsidRPr="00BD7F33">
        <w:rPr>
          <w:sz w:val="22"/>
        </w:rPr>
        <w:lastRenderedPageBreak/>
        <w:t>Ecrire et editer des fiches (en anglais) sur les manuscrits et éditions imprimées du Coran, de pol</w:t>
      </w:r>
      <w:r>
        <w:rPr>
          <w:sz w:val="22"/>
        </w:rPr>
        <w:t>émiques anti-coraniques et autre textes (toujours en rapport avec le sujet de thèse)</w:t>
      </w:r>
    </w:p>
    <w:p w:rsidR="00BD7F33" w:rsidRDefault="00BD7F33" w:rsidP="001154D1">
      <w:pPr>
        <w:numPr>
          <w:ilvl w:val="1"/>
          <w:numId w:val="1"/>
        </w:numPr>
        <w:rPr>
          <w:sz w:val="22"/>
        </w:rPr>
      </w:pPr>
      <w:r>
        <w:rPr>
          <w:sz w:val="22"/>
        </w:rPr>
        <w:t>Ecrire des fiches prosopographiques sur les propriétaires et éditeurs de ces manuscrits et livres.</w:t>
      </w:r>
    </w:p>
    <w:p w:rsidR="001154D1" w:rsidRPr="0006658A" w:rsidRDefault="00BD7F33" w:rsidP="00BD7F33">
      <w:pPr>
        <w:numPr>
          <w:ilvl w:val="1"/>
          <w:numId w:val="1"/>
        </w:numPr>
        <w:rPr>
          <w:sz w:val="22"/>
          <w:lang w:val="en-GB"/>
        </w:rPr>
      </w:pPr>
      <w:r>
        <w:rPr>
          <w:sz w:val="22"/>
        </w:rPr>
        <w:t>Identifier des spécialistes et les inviter à contribuer à la base de données</w:t>
      </w:r>
    </w:p>
    <w:p w:rsidR="001154D1" w:rsidRDefault="001154D1" w:rsidP="00BD7F33">
      <w:pPr>
        <w:numPr>
          <w:ilvl w:val="0"/>
          <w:numId w:val="1"/>
        </w:numPr>
        <w:rPr>
          <w:sz w:val="22"/>
        </w:rPr>
      </w:pPr>
      <w:r w:rsidRPr="00BD7F33">
        <w:rPr>
          <w:sz w:val="22"/>
        </w:rPr>
        <w:t>Participati</w:t>
      </w:r>
      <w:r w:rsidR="00BD7F33" w:rsidRPr="00BD7F33">
        <w:rPr>
          <w:sz w:val="22"/>
        </w:rPr>
        <w:t xml:space="preserve">on aux réunions d’équipe, aux séminaires et journées d’études, à Nantes et dans d’autres institutions partenaires </w:t>
      </w:r>
      <w:r w:rsidR="005808F2" w:rsidRPr="00BD7F33">
        <w:rPr>
          <w:sz w:val="22"/>
        </w:rPr>
        <w:t xml:space="preserve">EuQu </w:t>
      </w:r>
    </w:p>
    <w:p w:rsidR="00BD7F33" w:rsidRPr="00BD7F33" w:rsidRDefault="00BD7F33" w:rsidP="00BD7F33">
      <w:pPr>
        <w:ind w:left="720"/>
        <w:rPr>
          <w:sz w:val="22"/>
        </w:rPr>
      </w:pPr>
    </w:p>
    <w:p w:rsidR="00973FB2" w:rsidRPr="00973FB2" w:rsidRDefault="00973FB2" w:rsidP="00973FB2">
      <w:pPr>
        <w:rPr>
          <w:sz w:val="22"/>
          <w:lang w:val="en-US"/>
        </w:rPr>
      </w:pPr>
      <w:r w:rsidRPr="00973FB2">
        <w:rPr>
          <w:b/>
          <w:sz w:val="22"/>
          <w:lang w:val="en-US"/>
        </w:rPr>
        <w:t>Conditions de travail</w:t>
      </w:r>
    </w:p>
    <w:p w:rsidR="00605D18" w:rsidRPr="00AF041E" w:rsidRDefault="00BD7F33" w:rsidP="005808F2">
      <w:pPr>
        <w:rPr>
          <w:sz w:val="22"/>
        </w:rPr>
      </w:pPr>
      <w:r w:rsidRPr="00BD7F33">
        <w:rPr>
          <w:sz w:val="22"/>
        </w:rPr>
        <w:t>Chacun des étudiants sera embauché sur un</w:t>
      </w:r>
      <w:r>
        <w:rPr>
          <w:sz w:val="22"/>
        </w:rPr>
        <w:t xml:space="preserve"> CDD (</w:t>
      </w:r>
      <w:r w:rsidR="001154D1" w:rsidRPr="00BD7F33">
        <w:rPr>
          <w:sz w:val="22"/>
        </w:rPr>
        <w:t>contrat à du</w:t>
      </w:r>
      <w:r w:rsidR="007E037C" w:rsidRPr="00BD7F33">
        <w:rPr>
          <w:sz w:val="22"/>
        </w:rPr>
        <w:t>rée déterminée)</w:t>
      </w:r>
      <w:r>
        <w:rPr>
          <w:sz w:val="22"/>
        </w:rPr>
        <w:t xml:space="preserve"> d’un an renouvelable, employé par l’</w:t>
      </w:r>
      <w:r w:rsidR="00342E09" w:rsidRPr="00BD7F33">
        <w:rPr>
          <w:sz w:val="22"/>
        </w:rPr>
        <w:t xml:space="preserve">Université de Nantes, </w:t>
      </w:r>
      <w:r>
        <w:rPr>
          <w:sz w:val="22"/>
        </w:rPr>
        <w:t>pour un</w:t>
      </w:r>
      <w:r w:rsidR="00342E09" w:rsidRPr="00BD7F33">
        <w:rPr>
          <w:sz w:val="22"/>
        </w:rPr>
        <w:t xml:space="preserve"> total maximum </w:t>
      </w:r>
      <w:r>
        <w:rPr>
          <w:sz w:val="22"/>
        </w:rPr>
        <w:t>de 4 ans</w:t>
      </w:r>
      <w:r w:rsidR="007E037C" w:rsidRPr="00BD7F33">
        <w:rPr>
          <w:sz w:val="22"/>
        </w:rPr>
        <w:t xml:space="preserve">.  </w:t>
      </w:r>
      <w:r w:rsidRPr="00BD7F33">
        <w:rPr>
          <w:sz w:val="22"/>
        </w:rPr>
        <w:t>La</w:t>
      </w:r>
      <w:r w:rsidR="00605D18" w:rsidRPr="00BD7F33">
        <w:rPr>
          <w:sz w:val="22"/>
        </w:rPr>
        <w:t xml:space="preserve"> date </w:t>
      </w:r>
      <w:r w:rsidRPr="00BD7F33">
        <w:rPr>
          <w:sz w:val="22"/>
        </w:rPr>
        <w:t xml:space="preserve">de début de contrat sera </w:t>
      </w:r>
      <w:r w:rsidR="00AF041E" w:rsidRPr="00BD7F33">
        <w:rPr>
          <w:sz w:val="22"/>
        </w:rPr>
        <w:t>négociée</w:t>
      </w:r>
      <w:r w:rsidRPr="00BD7F33">
        <w:rPr>
          <w:sz w:val="22"/>
        </w:rPr>
        <w:t xml:space="preserve"> au moment de l’embauche; elle sera au plus tôt le 1er septembre 2019 et au plus tard le 1er avril 2020.  </w:t>
      </w:r>
      <w:r w:rsidR="00AF041E" w:rsidRPr="00AF041E">
        <w:rPr>
          <w:sz w:val="22"/>
        </w:rPr>
        <w:t>Le chercheur devra résider à Nantes; on lui fournira un bureau à la Maison</w:t>
      </w:r>
      <w:r w:rsidR="005808F2" w:rsidRPr="00AF041E">
        <w:rPr>
          <w:sz w:val="22"/>
        </w:rPr>
        <w:t xml:space="preserve"> des Sciences de l’Homme</w:t>
      </w:r>
      <w:r w:rsidR="007C465B" w:rsidRPr="00AF041E">
        <w:rPr>
          <w:sz w:val="22"/>
        </w:rPr>
        <w:t xml:space="preserve"> </w:t>
      </w:r>
      <w:r w:rsidR="005808F2" w:rsidRPr="00AF041E">
        <w:rPr>
          <w:sz w:val="22"/>
        </w:rPr>
        <w:t>(</w:t>
      </w:r>
      <w:r w:rsidR="007C465B" w:rsidRPr="00AF041E">
        <w:rPr>
          <w:sz w:val="22"/>
        </w:rPr>
        <w:t>MSH</w:t>
      </w:r>
      <w:r w:rsidR="005808F2" w:rsidRPr="00AF041E">
        <w:rPr>
          <w:sz w:val="22"/>
        </w:rPr>
        <w:t>)</w:t>
      </w:r>
      <w:r w:rsidR="00AF041E">
        <w:rPr>
          <w:sz w:val="22"/>
        </w:rPr>
        <w:t xml:space="preserve"> de l’Université.</w:t>
      </w:r>
    </w:p>
    <w:p w:rsidR="00AF041E" w:rsidRPr="00AF041E" w:rsidRDefault="00AF041E" w:rsidP="001154D1">
      <w:pPr>
        <w:rPr>
          <w:sz w:val="22"/>
        </w:rPr>
      </w:pPr>
      <w:r w:rsidRPr="00AF041E">
        <w:rPr>
          <w:sz w:val="22"/>
        </w:rPr>
        <w:t>Il sera appelé à voyage fréquemment pour des conférences, journées d’études et s</w:t>
      </w:r>
      <w:r>
        <w:rPr>
          <w:sz w:val="22"/>
        </w:rPr>
        <w:t xml:space="preserve">éjours de recherche auprès des institutions partenaires.  </w:t>
      </w:r>
      <w:r w:rsidRPr="00AF041E">
        <w:rPr>
          <w:sz w:val="22"/>
        </w:rPr>
        <w:t>Ceux qui bénéficient d’une cotutelle devront passer un temps significatif dans l’université de cotutelle.</w:t>
      </w:r>
    </w:p>
    <w:p w:rsidR="005464CD" w:rsidRDefault="005464CD" w:rsidP="001154D1">
      <w:pPr>
        <w:rPr>
          <w:sz w:val="22"/>
          <w:lang w:val="en-GB"/>
        </w:rPr>
      </w:pPr>
    </w:p>
    <w:p w:rsidR="00AF041E" w:rsidRPr="00980E81" w:rsidRDefault="00AF041E" w:rsidP="00AF041E">
      <w:pPr>
        <w:pStyle w:val="StyleJustifiPremireligne125cm"/>
        <w:rPr>
          <w:rFonts w:ascii="Cambria" w:hAnsi="Cambria"/>
          <w:sz w:val="22"/>
        </w:rPr>
      </w:pPr>
    </w:p>
    <w:p w:rsidR="00AF041E" w:rsidRPr="00980E81" w:rsidRDefault="00AF041E" w:rsidP="00AF041E">
      <w:pPr>
        <w:pStyle w:val="StyleJustifiPremireligne125cm"/>
        <w:pBdr>
          <w:top w:val="single" w:sz="4" w:space="1" w:color="auto"/>
          <w:left w:val="single" w:sz="4" w:space="4" w:color="auto"/>
          <w:bottom w:val="single" w:sz="4" w:space="1" w:color="auto"/>
          <w:right w:val="single" w:sz="4" w:space="4" w:color="auto"/>
        </w:pBdr>
        <w:shd w:val="clear" w:color="auto" w:fill="F3F3F3"/>
        <w:spacing w:before="240" w:after="240"/>
        <w:rPr>
          <w:rFonts w:ascii="Cambria" w:hAnsi="Cambria"/>
          <w:b/>
          <w:sz w:val="22"/>
          <w:u w:val="single"/>
        </w:rPr>
      </w:pPr>
      <w:r w:rsidRPr="00980E81">
        <w:rPr>
          <w:rFonts w:ascii="Cambria" w:hAnsi="Cambria"/>
          <w:b/>
          <w:sz w:val="22"/>
          <w:u w:val="single"/>
        </w:rPr>
        <w:t>Le dossier de candidature sera constitué des pièces suivantes :</w:t>
      </w:r>
    </w:p>
    <w:p w:rsidR="00AF041E" w:rsidRPr="00980E81"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un projet de thèse de 5-10 pages (sujet, hypothèses de recherche, méthodologie et bibliographie indicative…)</w:t>
      </w:r>
    </w:p>
    <w:p w:rsidR="00AF041E" w:rsidRPr="00980E81"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 xml:space="preserve">le </w:t>
      </w:r>
      <w:r w:rsidRPr="00980E81">
        <w:rPr>
          <w:i/>
          <w:iCs/>
          <w:sz w:val="22"/>
        </w:rPr>
        <w:t>curriculum vitae</w:t>
      </w:r>
      <w:r w:rsidRPr="00980E81">
        <w:rPr>
          <w:sz w:val="22"/>
        </w:rPr>
        <w:t xml:space="preserve"> détaillé du candidat, avec ses coordonnées : nom, prénom, téléphone portable ou fixe, email</w:t>
      </w:r>
    </w:p>
    <w:p w:rsidR="00AF041E" w:rsidRPr="00980E81"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copie du relevé des notes de Master</w:t>
      </w:r>
    </w:p>
    <w:p w:rsidR="00AF041E" w:rsidRPr="00980E81"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attestation de diplôme de Master</w:t>
      </w:r>
    </w:p>
    <w:p w:rsidR="00AF041E" w:rsidRPr="00980E81"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Intitulé du mémoire de Master et nom du directeur</w:t>
      </w:r>
    </w:p>
    <w:p w:rsidR="00AF041E"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980E81">
        <w:rPr>
          <w:sz w:val="22"/>
        </w:rPr>
        <w:t>Le cas échéant, le nom et les coordonnées du co-directeur de thèse pressenti</w:t>
      </w:r>
    </w:p>
    <w:p w:rsidR="00AF041E" w:rsidRDefault="00AF041E" w:rsidP="00AF041E">
      <w:pPr>
        <w:numPr>
          <w:ilvl w:val="0"/>
          <w:numId w:val="4"/>
        </w:numPr>
        <w:pBdr>
          <w:top w:val="single" w:sz="4" w:space="1" w:color="auto"/>
          <w:left w:val="single" w:sz="4" w:space="4" w:color="auto"/>
          <w:bottom w:val="single" w:sz="4" w:space="1" w:color="auto"/>
          <w:right w:val="single" w:sz="4" w:space="4" w:color="auto"/>
        </w:pBdr>
        <w:shd w:val="clear" w:color="auto" w:fill="F3F3F3"/>
        <w:spacing w:before="240" w:after="240"/>
        <w:jc w:val="both"/>
        <w:rPr>
          <w:sz w:val="22"/>
        </w:rPr>
      </w:pPr>
      <w:r w:rsidRPr="00AF041E">
        <w:rPr>
          <w:sz w:val="22"/>
        </w:rPr>
        <w:t>2 lettres de recommandation de la part de professeurs qui connaissent bien le travail du candidat (dont une lettre du co-directeur pressenti le cas é</w:t>
      </w:r>
      <w:r>
        <w:rPr>
          <w:sz w:val="22"/>
        </w:rPr>
        <w:t>chéant)</w:t>
      </w:r>
    </w:p>
    <w:p w:rsidR="00E900BF" w:rsidRPr="00AF041E" w:rsidRDefault="00E900BF" w:rsidP="001154D1">
      <w:pPr>
        <w:rPr>
          <w:sz w:val="22"/>
          <w:lang w:val="en-US"/>
        </w:rPr>
      </w:pPr>
    </w:p>
    <w:p w:rsidR="001154D1" w:rsidRPr="00AF041E" w:rsidRDefault="00AF041E" w:rsidP="001154D1">
      <w:pPr>
        <w:rPr>
          <w:b/>
          <w:sz w:val="22"/>
        </w:rPr>
      </w:pPr>
      <w:r>
        <w:rPr>
          <w:b/>
          <w:sz w:val="22"/>
        </w:rPr>
        <w:t>P</w:t>
      </w:r>
      <w:r w:rsidRPr="00AF041E">
        <w:rPr>
          <w:b/>
          <w:sz w:val="22"/>
        </w:rPr>
        <w:t>rocédures</w:t>
      </w:r>
      <w:r>
        <w:rPr>
          <w:b/>
          <w:sz w:val="22"/>
        </w:rPr>
        <w:t xml:space="preserve"> de recrutement</w:t>
      </w:r>
    </w:p>
    <w:p w:rsidR="001154D1" w:rsidRPr="00AF041E" w:rsidRDefault="00AF041E" w:rsidP="007E037C">
      <w:pPr>
        <w:rPr>
          <w:sz w:val="22"/>
        </w:rPr>
      </w:pPr>
      <w:r w:rsidRPr="00980E81">
        <w:rPr>
          <w:sz w:val="22"/>
        </w:rPr>
        <w:t>Tout document doit être envoyé en format PDF à</w:t>
      </w:r>
      <w:r w:rsidRPr="00AF041E">
        <w:rPr>
          <w:color w:val="FF0000"/>
          <w:sz w:val="22"/>
        </w:rPr>
        <w:t xml:space="preserve"> </w:t>
      </w:r>
      <w:hyperlink r:id="rId10" w:history="1">
        <w:r w:rsidR="00A75B2C" w:rsidRPr="00AF041E">
          <w:rPr>
            <w:rStyle w:val="Lienhypertexte"/>
            <w:sz w:val="22"/>
          </w:rPr>
          <w:t>euqu@cchs.csic.es</w:t>
        </w:r>
      </w:hyperlink>
      <w:r w:rsidR="00A75B2C" w:rsidRPr="00AF041E">
        <w:rPr>
          <w:color w:val="FF0000"/>
          <w:sz w:val="22"/>
        </w:rPr>
        <w:t xml:space="preserve"> </w:t>
      </w:r>
      <w:r>
        <w:rPr>
          <w:sz w:val="22"/>
        </w:rPr>
        <w:t>avant le 1</w:t>
      </w:r>
      <w:r w:rsidRPr="00AF041E">
        <w:rPr>
          <w:sz w:val="22"/>
          <w:vertAlign w:val="superscript"/>
        </w:rPr>
        <w:t>er</w:t>
      </w:r>
      <w:r>
        <w:rPr>
          <w:sz w:val="22"/>
        </w:rPr>
        <w:t xml:space="preserve"> avril</w:t>
      </w:r>
      <w:r w:rsidR="005808F2" w:rsidRPr="00AF041E">
        <w:rPr>
          <w:sz w:val="22"/>
        </w:rPr>
        <w:t xml:space="preserve"> 2019</w:t>
      </w:r>
      <w:r w:rsidR="00C31642" w:rsidRPr="00AF041E">
        <w:rPr>
          <w:sz w:val="22"/>
        </w:rPr>
        <w:t>.</w:t>
      </w:r>
    </w:p>
    <w:p w:rsidR="00AF041E" w:rsidRDefault="00AF041E" w:rsidP="007E037C">
      <w:pPr>
        <w:rPr>
          <w:sz w:val="22"/>
        </w:rPr>
      </w:pPr>
      <w:r w:rsidRPr="00AF041E">
        <w:rPr>
          <w:sz w:val="22"/>
        </w:rPr>
        <w:t xml:space="preserve">Des candidats choisis seront auditionnés le </w:t>
      </w:r>
      <w:r w:rsidR="001923B4" w:rsidRPr="00AF041E">
        <w:rPr>
          <w:sz w:val="22"/>
        </w:rPr>
        <w:t xml:space="preserve">21-23 </w:t>
      </w:r>
      <w:r w:rsidRPr="00AF041E">
        <w:rPr>
          <w:sz w:val="22"/>
        </w:rPr>
        <w:t>mai</w:t>
      </w:r>
      <w:r w:rsidR="005808F2" w:rsidRPr="00AF041E">
        <w:rPr>
          <w:sz w:val="22"/>
        </w:rPr>
        <w:t xml:space="preserve"> 2019</w:t>
      </w:r>
      <w:r w:rsidR="001923B4" w:rsidRPr="00AF041E">
        <w:rPr>
          <w:sz w:val="22"/>
        </w:rPr>
        <w:t xml:space="preserve">.  </w:t>
      </w:r>
      <w:r w:rsidRPr="00AF041E">
        <w:rPr>
          <w:sz w:val="22"/>
        </w:rPr>
        <w:t>Les entretiens seront menés par les quatre directeurs d’</w:t>
      </w:r>
      <w:r w:rsidR="001923B4" w:rsidRPr="00AF041E">
        <w:rPr>
          <w:sz w:val="22"/>
        </w:rPr>
        <w:t>EuQu</w:t>
      </w:r>
      <w:r w:rsidRPr="00AF041E">
        <w:rPr>
          <w:sz w:val="22"/>
        </w:rPr>
        <w:t>, par visioconf</w:t>
      </w:r>
      <w:r>
        <w:rPr>
          <w:sz w:val="22"/>
        </w:rPr>
        <w:t xml:space="preserve">érence.  </w:t>
      </w:r>
      <w:r w:rsidRPr="00AF041E">
        <w:rPr>
          <w:sz w:val="22"/>
        </w:rPr>
        <w:t xml:space="preserve">Les candidats qui préferent être auditionnés en personne peuvent venir </w:t>
      </w:r>
      <w:r>
        <w:rPr>
          <w:sz w:val="22"/>
        </w:rPr>
        <w:t>à Madrid pour les entretiens, mais il n’y aura pas de prise en charge de frais.  Des informations complètes seront envoyées aux candidats choisis avant le 1</w:t>
      </w:r>
      <w:r w:rsidRPr="00AF041E">
        <w:rPr>
          <w:sz w:val="22"/>
          <w:vertAlign w:val="superscript"/>
        </w:rPr>
        <w:t>er</w:t>
      </w:r>
      <w:r>
        <w:rPr>
          <w:sz w:val="22"/>
        </w:rPr>
        <w:t xml:space="preserve"> mai.  On informera les candidats des résultats des auditions avant la fin mai.</w:t>
      </w:r>
    </w:p>
    <w:p w:rsidR="001154D1" w:rsidRPr="0006658A" w:rsidRDefault="001154D1" w:rsidP="001154D1">
      <w:pPr>
        <w:rPr>
          <w:sz w:val="22"/>
          <w:lang w:val="en-GB"/>
        </w:rPr>
      </w:pPr>
    </w:p>
    <w:p w:rsidR="001154D1" w:rsidRPr="00AF041E" w:rsidRDefault="001154D1" w:rsidP="001154D1">
      <w:pPr>
        <w:rPr>
          <w:b/>
          <w:bCs/>
          <w:sz w:val="22"/>
        </w:rPr>
      </w:pPr>
      <w:r w:rsidRPr="00AF041E">
        <w:rPr>
          <w:b/>
          <w:bCs/>
          <w:sz w:val="22"/>
        </w:rPr>
        <w:t xml:space="preserve">Contact </w:t>
      </w:r>
      <w:r w:rsidR="00AF041E" w:rsidRPr="00AF041E">
        <w:rPr>
          <w:b/>
          <w:bCs/>
          <w:sz w:val="22"/>
        </w:rPr>
        <w:t>et</w:t>
      </w:r>
      <w:r w:rsidRPr="00AF041E">
        <w:rPr>
          <w:b/>
          <w:bCs/>
          <w:sz w:val="22"/>
        </w:rPr>
        <w:t xml:space="preserve"> information : </w:t>
      </w:r>
      <w:r w:rsidR="00F408A8" w:rsidRPr="00AF041E">
        <w:rPr>
          <w:b/>
          <w:bCs/>
          <w:sz w:val="22"/>
        </w:rPr>
        <w:t>euqu@cchs.csic.es</w:t>
      </w:r>
    </w:p>
    <w:p w:rsidR="005808F2" w:rsidRPr="00AF041E" w:rsidRDefault="005808F2">
      <w:pPr>
        <w:rPr>
          <w:sz w:val="22"/>
        </w:rPr>
      </w:pPr>
    </w:p>
    <w:p w:rsidR="004857ED" w:rsidRPr="00AF041E" w:rsidRDefault="004857ED" w:rsidP="004857ED">
      <w:pPr>
        <w:jc w:val="both"/>
        <w:rPr>
          <w:rFonts w:ascii="Geneva" w:hAnsi="Geneva"/>
          <w:sz w:val="22"/>
        </w:rPr>
      </w:pPr>
    </w:p>
    <w:p w:rsidR="004857ED" w:rsidRPr="00AF041E" w:rsidRDefault="004857ED" w:rsidP="004857ED">
      <w:pPr>
        <w:jc w:val="both"/>
        <w:rPr>
          <w:rFonts w:ascii="Geneva" w:hAnsi="Geneva"/>
          <w:sz w:val="22"/>
        </w:rPr>
      </w:pPr>
    </w:p>
    <w:p w:rsidR="001154D1" w:rsidRPr="005808F2" w:rsidRDefault="00FB7FE3" w:rsidP="00FA1AA8">
      <w:pPr>
        <w:pStyle w:val="Pieddepage"/>
        <w:rPr>
          <w:lang w:val="en-US"/>
        </w:rPr>
      </w:pPr>
      <w:r>
        <w:rPr>
          <w:noProof/>
          <w:lang w:eastAsia="fr-FR"/>
        </w:rPr>
        <w:drawing>
          <wp:inline distT="0" distB="0" distL="0" distR="0">
            <wp:extent cx="440690" cy="497840"/>
            <wp:effectExtent l="19050" t="0" r="0" b="0"/>
            <wp:docPr id="4" name="Image 4" descr="M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H-logo"/>
                    <pic:cNvPicPr>
                      <a:picLocks noChangeAspect="1" noChangeArrowheads="1"/>
                    </pic:cNvPicPr>
                  </pic:nvPicPr>
                  <pic:blipFill>
                    <a:blip r:embed="rId11" cstate="print"/>
                    <a:srcRect/>
                    <a:stretch>
                      <a:fillRect/>
                    </a:stretch>
                  </pic:blipFill>
                  <pic:spPr bwMode="auto">
                    <a:xfrm>
                      <a:off x="0" y="0"/>
                      <a:ext cx="440690" cy="497840"/>
                    </a:xfrm>
                    <a:prstGeom prst="rect">
                      <a:avLst/>
                    </a:prstGeom>
                    <a:noFill/>
                    <a:ln w="9525">
                      <a:noFill/>
                      <a:miter lim="800000"/>
                      <a:headEnd/>
                      <a:tailEnd/>
                    </a:ln>
                  </pic:spPr>
                </pic:pic>
              </a:graphicData>
            </a:graphic>
          </wp:inline>
        </w:drawing>
      </w:r>
      <w:r w:rsidR="004857ED" w:rsidRPr="005808F2">
        <w:rPr>
          <w:lang w:val="en-US"/>
        </w:rPr>
        <w:t xml:space="preserve">  </w:t>
      </w:r>
      <w:r>
        <w:rPr>
          <w:noProof/>
          <w:lang w:eastAsia="fr-FR"/>
        </w:rPr>
        <w:drawing>
          <wp:inline distT="0" distB="0" distL="0" distR="0">
            <wp:extent cx="933450" cy="526415"/>
            <wp:effectExtent l="19050" t="0" r="0" b="0"/>
            <wp:docPr id="5" name="Image 5" descr="Nantes-Uni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ntes-Univ-logo2"/>
                    <pic:cNvPicPr>
                      <a:picLocks noChangeAspect="1" noChangeArrowheads="1"/>
                    </pic:cNvPicPr>
                  </pic:nvPicPr>
                  <pic:blipFill>
                    <a:blip r:embed="rId12" cstate="print"/>
                    <a:srcRect/>
                    <a:stretch>
                      <a:fillRect/>
                    </a:stretch>
                  </pic:blipFill>
                  <pic:spPr bwMode="auto">
                    <a:xfrm>
                      <a:off x="0" y="0"/>
                      <a:ext cx="933450" cy="526415"/>
                    </a:xfrm>
                    <a:prstGeom prst="rect">
                      <a:avLst/>
                    </a:prstGeom>
                    <a:noFill/>
                    <a:ln w="9525">
                      <a:noFill/>
                      <a:miter lim="800000"/>
                      <a:headEnd/>
                      <a:tailEnd/>
                    </a:ln>
                  </pic:spPr>
                </pic:pic>
              </a:graphicData>
            </a:graphic>
          </wp:inline>
        </w:drawing>
      </w:r>
      <w:r>
        <w:rPr>
          <w:noProof/>
          <w:lang w:eastAsia="fr-FR"/>
        </w:rPr>
        <w:drawing>
          <wp:inline distT="0" distB="0" distL="0" distR="0">
            <wp:extent cx="957580" cy="49784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957580" cy="497840"/>
                    </a:xfrm>
                    <a:prstGeom prst="rect">
                      <a:avLst/>
                    </a:prstGeom>
                    <a:noFill/>
                    <a:ln w="9525">
                      <a:noFill/>
                      <a:miter lim="800000"/>
                      <a:headEnd/>
                      <a:tailEnd/>
                    </a:ln>
                  </pic:spPr>
                </pic:pic>
              </a:graphicData>
            </a:graphic>
          </wp:inline>
        </w:drawing>
      </w:r>
    </w:p>
    <w:sectPr w:rsidR="001154D1" w:rsidRPr="005808F2" w:rsidSect="0087171C">
      <w:pgSz w:w="11900" w:h="16840"/>
      <w:pgMar w:top="720" w:right="720" w:bottom="720" w:left="720" w:header="454" w:footer="6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20" w:rsidRDefault="00EC0020">
      <w:r>
        <w:separator/>
      </w:r>
    </w:p>
  </w:endnote>
  <w:endnote w:type="continuationSeparator" w:id="0">
    <w:p w:rsidR="00EC0020" w:rsidRDefault="00EC0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20" w:rsidRDefault="00EC0020">
      <w:r>
        <w:separator/>
      </w:r>
    </w:p>
  </w:footnote>
  <w:footnote w:type="continuationSeparator" w:id="0">
    <w:p w:rsidR="00EC0020" w:rsidRDefault="00EC0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0842"/>
    <w:multiLevelType w:val="hybridMultilevel"/>
    <w:tmpl w:val="E61EA1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313AF"/>
    <w:multiLevelType w:val="hybridMultilevel"/>
    <w:tmpl w:val="91CA896E"/>
    <w:lvl w:ilvl="0" w:tplc="BDBEB592">
      <w:start w:val="1"/>
      <w:numFmt w:val="decimal"/>
      <w:lvlText w:val="%1)"/>
      <w:lvlJc w:val="left"/>
      <w:pPr>
        <w:tabs>
          <w:tab w:val="num" w:pos="990"/>
        </w:tabs>
        <w:ind w:left="990" w:hanging="990"/>
      </w:pPr>
      <w:rPr>
        <w:rFonts w:hint="default"/>
      </w:rPr>
    </w:lvl>
    <w:lvl w:ilvl="1" w:tplc="040C0019" w:tentative="1">
      <w:start w:val="1"/>
      <w:numFmt w:val="lowerLetter"/>
      <w:lvlText w:val="%2."/>
      <w:lvlJc w:val="left"/>
      <w:pPr>
        <w:tabs>
          <w:tab w:val="num" w:pos="731"/>
        </w:tabs>
        <w:ind w:left="731" w:hanging="360"/>
      </w:pPr>
    </w:lvl>
    <w:lvl w:ilvl="2" w:tplc="040C001B" w:tentative="1">
      <w:start w:val="1"/>
      <w:numFmt w:val="lowerRoman"/>
      <w:lvlText w:val="%3."/>
      <w:lvlJc w:val="right"/>
      <w:pPr>
        <w:tabs>
          <w:tab w:val="num" w:pos="1451"/>
        </w:tabs>
        <w:ind w:left="1451" w:hanging="180"/>
      </w:pPr>
    </w:lvl>
    <w:lvl w:ilvl="3" w:tplc="040C000F" w:tentative="1">
      <w:start w:val="1"/>
      <w:numFmt w:val="decimal"/>
      <w:lvlText w:val="%4."/>
      <w:lvlJc w:val="left"/>
      <w:pPr>
        <w:tabs>
          <w:tab w:val="num" w:pos="2171"/>
        </w:tabs>
        <w:ind w:left="2171" w:hanging="360"/>
      </w:pPr>
    </w:lvl>
    <w:lvl w:ilvl="4" w:tplc="040C0019" w:tentative="1">
      <w:start w:val="1"/>
      <w:numFmt w:val="lowerLetter"/>
      <w:lvlText w:val="%5."/>
      <w:lvlJc w:val="left"/>
      <w:pPr>
        <w:tabs>
          <w:tab w:val="num" w:pos="2891"/>
        </w:tabs>
        <w:ind w:left="2891" w:hanging="360"/>
      </w:pPr>
    </w:lvl>
    <w:lvl w:ilvl="5" w:tplc="040C001B" w:tentative="1">
      <w:start w:val="1"/>
      <w:numFmt w:val="lowerRoman"/>
      <w:lvlText w:val="%6."/>
      <w:lvlJc w:val="right"/>
      <w:pPr>
        <w:tabs>
          <w:tab w:val="num" w:pos="3611"/>
        </w:tabs>
        <w:ind w:left="3611" w:hanging="180"/>
      </w:pPr>
    </w:lvl>
    <w:lvl w:ilvl="6" w:tplc="040C000F" w:tentative="1">
      <w:start w:val="1"/>
      <w:numFmt w:val="decimal"/>
      <w:lvlText w:val="%7."/>
      <w:lvlJc w:val="left"/>
      <w:pPr>
        <w:tabs>
          <w:tab w:val="num" w:pos="4331"/>
        </w:tabs>
        <w:ind w:left="4331" w:hanging="360"/>
      </w:pPr>
    </w:lvl>
    <w:lvl w:ilvl="7" w:tplc="040C0019" w:tentative="1">
      <w:start w:val="1"/>
      <w:numFmt w:val="lowerLetter"/>
      <w:lvlText w:val="%8."/>
      <w:lvlJc w:val="left"/>
      <w:pPr>
        <w:tabs>
          <w:tab w:val="num" w:pos="5051"/>
        </w:tabs>
        <w:ind w:left="5051" w:hanging="360"/>
      </w:pPr>
    </w:lvl>
    <w:lvl w:ilvl="8" w:tplc="040C001B" w:tentative="1">
      <w:start w:val="1"/>
      <w:numFmt w:val="lowerRoman"/>
      <w:lvlText w:val="%9."/>
      <w:lvlJc w:val="right"/>
      <w:pPr>
        <w:tabs>
          <w:tab w:val="num" w:pos="5771"/>
        </w:tabs>
        <w:ind w:left="5771" w:hanging="180"/>
      </w:pPr>
    </w:lvl>
  </w:abstractNum>
  <w:abstractNum w:abstractNumId="2">
    <w:nsid w:val="65983804"/>
    <w:multiLevelType w:val="hybridMultilevel"/>
    <w:tmpl w:val="F16C7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CA6E2C"/>
    <w:multiLevelType w:val="hybridMultilevel"/>
    <w:tmpl w:val="97262822"/>
    <w:lvl w:ilvl="0" w:tplc="1730E780">
      <w:start w:val="1"/>
      <w:numFmt w:val="bullet"/>
      <w:lvlText w:val=""/>
      <w:lvlJc w:val="left"/>
      <w:pPr>
        <w:tabs>
          <w:tab w:val="num" w:pos="720"/>
        </w:tabs>
        <w:ind w:left="720" w:hanging="360"/>
      </w:pPr>
      <w:rPr>
        <w:rFonts w:ascii="Symbol" w:hAnsi="Symbol" w:hint="default"/>
        <w:lang w:val="fr-FR"/>
      </w:rPr>
    </w:lvl>
    <w:lvl w:ilvl="1" w:tplc="ED2A2AA0">
      <w:start w:val="1"/>
      <w:numFmt w:val="bullet"/>
      <w:lvlText w:val="o"/>
      <w:lvlJc w:val="left"/>
      <w:pPr>
        <w:tabs>
          <w:tab w:val="num" w:pos="1440"/>
        </w:tabs>
        <w:ind w:left="1440" w:hanging="360"/>
      </w:pPr>
      <w:rPr>
        <w:rFonts w:ascii="Courier New" w:hAnsi="Courier New" w:cs="Arial" w:hint="default"/>
        <w:lang w:val="fr-FR"/>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216BA1"/>
    <w:rsid w:val="00012564"/>
    <w:rsid w:val="00046E00"/>
    <w:rsid w:val="000B15BA"/>
    <w:rsid w:val="000B2A52"/>
    <w:rsid w:val="001035EB"/>
    <w:rsid w:val="00104AE4"/>
    <w:rsid w:val="001154D1"/>
    <w:rsid w:val="00145233"/>
    <w:rsid w:val="0016469B"/>
    <w:rsid w:val="001923B4"/>
    <w:rsid w:val="001D1357"/>
    <w:rsid w:val="001E5280"/>
    <w:rsid w:val="00205AAE"/>
    <w:rsid w:val="00216B5C"/>
    <w:rsid w:val="00226F72"/>
    <w:rsid w:val="00260CE3"/>
    <w:rsid w:val="002B01A4"/>
    <w:rsid w:val="002F6045"/>
    <w:rsid w:val="00342E09"/>
    <w:rsid w:val="00396282"/>
    <w:rsid w:val="003B65DE"/>
    <w:rsid w:val="004836BE"/>
    <w:rsid w:val="004857ED"/>
    <w:rsid w:val="004C3884"/>
    <w:rsid w:val="00515EF9"/>
    <w:rsid w:val="005464CD"/>
    <w:rsid w:val="00550DAA"/>
    <w:rsid w:val="005808F2"/>
    <w:rsid w:val="00605D18"/>
    <w:rsid w:val="0067163D"/>
    <w:rsid w:val="006C3115"/>
    <w:rsid w:val="006E58FB"/>
    <w:rsid w:val="00795D0C"/>
    <w:rsid w:val="007C465B"/>
    <w:rsid w:val="007E037C"/>
    <w:rsid w:val="007E1297"/>
    <w:rsid w:val="007E7ADC"/>
    <w:rsid w:val="007E7F5A"/>
    <w:rsid w:val="007F376D"/>
    <w:rsid w:val="00827F29"/>
    <w:rsid w:val="008666B8"/>
    <w:rsid w:val="0087171C"/>
    <w:rsid w:val="00880DD2"/>
    <w:rsid w:val="008C7A66"/>
    <w:rsid w:val="00905318"/>
    <w:rsid w:val="00932F02"/>
    <w:rsid w:val="00941BE9"/>
    <w:rsid w:val="00973FB2"/>
    <w:rsid w:val="00995273"/>
    <w:rsid w:val="009B6649"/>
    <w:rsid w:val="00A03D90"/>
    <w:rsid w:val="00A077A9"/>
    <w:rsid w:val="00A23DE5"/>
    <w:rsid w:val="00A7487D"/>
    <w:rsid w:val="00A75B2C"/>
    <w:rsid w:val="00AF041E"/>
    <w:rsid w:val="00AF1CDB"/>
    <w:rsid w:val="00B224FC"/>
    <w:rsid w:val="00B459BE"/>
    <w:rsid w:val="00B8159A"/>
    <w:rsid w:val="00BA7FA1"/>
    <w:rsid w:val="00BC3185"/>
    <w:rsid w:val="00BD7F33"/>
    <w:rsid w:val="00BF6E89"/>
    <w:rsid w:val="00C31642"/>
    <w:rsid w:val="00C57735"/>
    <w:rsid w:val="00D93416"/>
    <w:rsid w:val="00DD6B89"/>
    <w:rsid w:val="00DF0082"/>
    <w:rsid w:val="00E01898"/>
    <w:rsid w:val="00E12DF3"/>
    <w:rsid w:val="00E465D9"/>
    <w:rsid w:val="00E6421C"/>
    <w:rsid w:val="00E85C9F"/>
    <w:rsid w:val="00E900BF"/>
    <w:rsid w:val="00E922F2"/>
    <w:rsid w:val="00EC0020"/>
    <w:rsid w:val="00F006F4"/>
    <w:rsid w:val="00F408A8"/>
    <w:rsid w:val="00F53AED"/>
    <w:rsid w:val="00F60A5D"/>
    <w:rsid w:val="00F83E19"/>
    <w:rsid w:val="00F941C9"/>
    <w:rsid w:val="00FA1AA8"/>
    <w:rsid w:val="00FB7FE3"/>
    <w:rsid w:val="00FC5B64"/>
    <w:rsid w:val="00FC766F"/>
    <w:rsid w:val="00FD73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9C"/>
    <w:rPr>
      <w:sz w:val="24"/>
      <w:szCs w:val="24"/>
      <w:lang w:eastAsia="en-US"/>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216BA1"/>
    <w:pPr>
      <w:tabs>
        <w:tab w:val="center" w:pos="4536"/>
        <w:tab w:val="right" w:pos="9072"/>
      </w:tabs>
    </w:pPr>
  </w:style>
  <w:style w:type="character" w:customStyle="1" w:styleId="En-tteCar">
    <w:name w:val="En-tête Car"/>
    <w:basedOn w:val="Policepardfaut"/>
    <w:link w:val="En-tte"/>
    <w:uiPriority w:val="99"/>
    <w:semiHidden/>
    <w:rsid w:val="00216BA1"/>
  </w:style>
  <w:style w:type="paragraph" w:styleId="Pieddepage">
    <w:name w:val="footer"/>
    <w:basedOn w:val="Normal"/>
    <w:link w:val="PieddepageCar"/>
    <w:uiPriority w:val="99"/>
    <w:unhideWhenUsed/>
    <w:rsid w:val="00216BA1"/>
    <w:pPr>
      <w:tabs>
        <w:tab w:val="center" w:pos="4536"/>
        <w:tab w:val="right" w:pos="9072"/>
      </w:tabs>
    </w:pPr>
  </w:style>
  <w:style w:type="character" w:customStyle="1" w:styleId="PieddepageCar">
    <w:name w:val="Pied de page Car"/>
    <w:basedOn w:val="Policepardfaut"/>
    <w:link w:val="Pieddepage"/>
    <w:uiPriority w:val="99"/>
    <w:rsid w:val="00216BA1"/>
  </w:style>
  <w:style w:type="character" w:styleId="Lienhypertexte">
    <w:name w:val="Hyperlink"/>
    <w:uiPriority w:val="99"/>
    <w:unhideWhenUsed/>
    <w:rsid w:val="00A0167B"/>
    <w:rPr>
      <w:color w:val="0000FF"/>
      <w:u w:val="single"/>
    </w:rPr>
  </w:style>
  <w:style w:type="character" w:styleId="Marquedecommentaire">
    <w:name w:val="annotation reference"/>
    <w:uiPriority w:val="99"/>
    <w:semiHidden/>
    <w:unhideWhenUsed/>
    <w:rsid w:val="00342E09"/>
    <w:rPr>
      <w:sz w:val="16"/>
      <w:szCs w:val="16"/>
    </w:rPr>
  </w:style>
  <w:style w:type="paragraph" w:styleId="Commentaire">
    <w:name w:val="annotation text"/>
    <w:basedOn w:val="Normal"/>
    <w:link w:val="CommentaireCar"/>
    <w:uiPriority w:val="99"/>
    <w:semiHidden/>
    <w:unhideWhenUsed/>
    <w:rsid w:val="00342E09"/>
    <w:rPr>
      <w:sz w:val="20"/>
      <w:szCs w:val="20"/>
      <w:lang/>
    </w:rPr>
  </w:style>
  <w:style w:type="character" w:customStyle="1" w:styleId="CommentaireCar">
    <w:name w:val="Commentaire Car"/>
    <w:link w:val="Commentaire"/>
    <w:uiPriority w:val="99"/>
    <w:semiHidden/>
    <w:rsid w:val="00342E09"/>
    <w:rPr>
      <w:lang w:eastAsia="en-US"/>
    </w:rPr>
  </w:style>
  <w:style w:type="paragraph" w:styleId="Objetducommentaire">
    <w:name w:val="annotation subject"/>
    <w:basedOn w:val="Commentaire"/>
    <w:next w:val="Commentaire"/>
    <w:link w:val="ObjetducommentaireCar"/>
    <w:uiPriority w:val="99"/>
    <w:semiHidden/>
    <w:unhideWhenUsed/>
    <w:rsid w:val="00342E09"/>
    <w:rPr>
      <w:b/>
      <w:bCs/>
    </w:rPr>
  </w:style>
  <w:style w:type="character" w:customStyle="1" w:styleId="ObjetducommentaireCar">
    <w:name w:val="Objet du commentaire Car"/>
    <w:link w:val="Objetducommentaire"/>
    <w:uiPriority w:val="99"/>
    <w:semiHidden/>
    <w:rsid w:val="00342E09"/>
    <w:rPr>
      <w:b/>
      <w:bCs/>
      <w:lang w:eastAsia="en-US"/>
    </w:rPr>
  </w:style>
  <w:style w:type="paragraph" w:styleId="Textedebulles">
    <w:name w:val="Balloon Text"/>
    <w:basedOn w:val="Normal"/>
    <w:link w:val="TextedebullesCar"/>
    <w:uiPriority w:val="99"/>
    <w:semiHidden/>
    <w:unhideWhenUsed/>
    <w:rsid w:val="00342E09"/>
    <w:rPr>
      <w:rFonts w:ascii="Tahoma" w:hAnsi="Tahoma"/>
      <w:sz w:val="16"/>
      <w:szCs w:val="16"/>
      <w:lang/>
    </w:rPr>
  </w:style>
  <w:style w:type="character" w:customStyle="1" w:styleId="TextedebullesCar">
    <w:name w:val="Texte de bulles Car"/>
    <w:link w:val="Textedebulles"/>
    <w:uiPriority w:val="99"/>
    <w:semiHidden/>
    <w:rsid w:val="00342E09"/>
    <w:rPr>
      <w:rFonts w:ascii="Tahoma" w:hAnsi="Tahoma" w:cs="Tahoma"/>
      <w:sz w:val="16"/>
      <w:szCs w:val="16"/>
      <w:lang w:eastAsia="en-US"/>
    </w:rPr>
  </w:style>
  <w:style w:type="paragraph" w:customStyle="1" w:styleId="StyleJustifiPremireligne125cm">
    <w:name w:val="Style Justifié Première ligne : 125 cm"/>
    <w:basedOn w:val="Normal"/>
    <w:autoRedefine/>
    <w:rsid w:val="00E900BF"/>
    <w:pPr>
      <w:spacing w:line="360" w:lineRule="auto"/>
      <w:ind w:firstLine="709"/>
      <w:jc w:val="both"/>
    </w:pPr>
    <w:rPr>
      <w:rFonts w:ascii="Times New Roman" w:eastAsia="Times New Roman" w:hAnsi="Times New Roman"/>
      <w:szCs w:val="20"/>
      <w:lang w:eastAsia="fr-FR"/>
    </w:rPr>
  </w:style>
</w:styles>
</file>

<file path=word/webSettings.xml><?xml version="1.0" encoding="utf-8"?>
<w:webSettings xmlns:r="http://schemas.openxmlformats.org/officeDocument/2006/relationships" xmlns:w="http://schemas.openxmlformats.org/wordprocessingml/2006/main">
  <w:divs>
    <w:div w:id="4771868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uqu@cchs.csi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5307</Characters>
  <Application>Microsoft Office Word</Application>
  <DocSecurity>0</DocSecurity>
  <Lines>44</Lines>
  <Paragraphs>12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Post-doctoral researchers in the history of medieval law</vt:lpstr>
      <vt:lpstr>Post-doctoral researchers in the history of medieval law</vt:lpstr>
      <vt:lpstr>Post-doctoral researchers in the history of medieval law</vt:lpstr>
    </vt:vector>
  </TitlesOfParts>
  <Company>msh</Company>
  <LinksUpToDate>false</LinksUpToDate>
  <CharactersWithSpaces>6259</CharactersWithSpaces>
  <SharedDoc>false</SharedDoc>
  <HLinks>
    <vt:vector size="6" baseType="variant">
      <vt:variant>
        <vt:i4>7405594</vt:i4>
      </vt:variant>
      <vt:variant>
        <vt:i4>0</vt:i4>
      </vt:variant>
      <vt:variant>
        <vt:i4>0</vt:i4>
      </vt:variant>
      <vt:variant>
        <vt:i4>5</vt:i4>
      </vt:variant>
      <vt:variant>
        <vt:lpwstr>mailto:euqu@cchs.csic.es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researchers in the history of medieval law</dc:title>
  <dc:creator>Sysop</dc:creator>
  <cp:lastModifiedBy>achris</cp:lastModifiedBy>
  <cp:revision>2</cp:revision>
  <cp:lastPrinted>2011-11-15T12:23:00Z</cp:lastPrinted>
  <dcterms:created xsi:type="dcterms:W3CDTF">2019-02-25T15:54:00Z</dcterms:created>
  <dcterms:modified xsi:type="dcterms:W3CDTF">2019-02-25T15:54:00Z</dcterms:modified>
</cp:coreProperties>
</file>